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Érettségi témakörök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Irodalom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I.Életművek. Művek a magyar irodalomból.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Kötelező szerzők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Vörösmarty Mihály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Petőfi Sándor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3. Arany János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4. Jókai Mór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5. Mikszáth Kálmán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6. Ady Endre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7. Babits Mihály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8. Kosztolányi Dezső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9. József Attila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10. Herczeg Ferenc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II. Szerzők, művek, korszakok a régi magyar irodalomból, a 16-18. századból. Választható szerzők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11. Balassi Bálint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III. Portrék, metszetek, látásmódok a 19-20. század magyar irodalmából. Választható szerzők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12. Juhász Gyula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13. Móricz Zsigmond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IV. Metszetek a 20. századi délvidéki, erdélyi, felvidéki, kárpátaljai irodalomból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14. Wass Albert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V. Művek a kortárs magyar irodalomból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15. Varró Dániel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VI. Művek a világirodalomból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16. Lev Nyikolajevics Tolsztoj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17. Nyikolaj Vasziljevics Gogol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VII. Színház és dráma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18. William Shakespeare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19. Madách Imre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20. Rejtő Jenő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5TOu42TOKINljgsbgThId60PMQ==">CgMxLjA4AHIhMTZmaS1CSThUY3VqRnVvRWJzMFdQTVR1cUxJbTRwTzRp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