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Érettségi témakörök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sz w:val="32"/>
          <w:szCs w:val="32"/>
          <w:rtl w:val="0"/>
        </w:rPr>
        <w:t xml:space="preserve">Magyar nyelv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témakör : Kommunikáció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A kommunikációs folyamat tényezői, célja, funkciói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A főbb médiaműfajok ismertetése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Az emberi kommunikáció nem nyelvi jelei és kifejezőeszközei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témakör: A magyar nyelv története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 A magyar nyelv történetének főbb  korszakai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 A nyelvtörténet forrásai: kézírásos és nyomtatott nyelvemlékek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6. A nyelvújítás lényege és jelentősége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témakör. Ember és nyelvhasználat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7. A nyelv mint jelrendszer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8. Anyanyelvünk rétegződése I. A  köznyelvi változatok, a csoportnyelvek és a rétegnyelvek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 témakör: A nyelvi rendszer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9. A magánhangzók és a mássalhangzók rendszere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10. A morfémák (szóelemek) szerepe és helyes használata a szóalak felépítésében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11. A mondat fogalma, a mondat szerkesztettség és mondatfajta szerinti típusai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témakör: A szöveg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12. A szöveg fogalma, jellemzői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13. A továbbtanuláshoz, illetve a munka világában szükséges szövegtípusok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témakör: A retorika alapjai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14. A beszéd felépítése, megszerkesztésének menete, az anyaggyűjtéstől a megszólalásig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15. A szónoki beszéd fajtái és jellemzői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16. A kulturált véleménynyilvánítás és vita szabályai, gyakorlata. A befolyásolás módszerei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VII. témakör: Stílus és jelentés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18. A szóképek  fajtái ; szerepük a költői nyelvhasználatban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19. A társalgási stílus ismérvei, minősége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VIII. témakör : Digitális kommunikáció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20. Az információs társadalom hatása a nyelvhasználatra és a nyelvi érintkezésre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9pkW0t+d0WUlTKEQeFyVEw4YcA==">CgMxLjAyCGguZ2pkZ3hzOAByITFXTmpTQ0dTSTBQaWtEWnE5NUE2aC1IX0dEbmZnUnZURw==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